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0BD" w:rsidRDefault="00D420BD" w:rsidP="00E559CC">
      <w:pPr>
        <w:jc w:val="both"/>
        <w:rPr>
          <w:b/>
          <w:sz w:val="28"/>
          <w:szCs w:val="28"/>
        </w:rPr>
      </w:pPr>
      <w:r>
        <w:rPr>
          <w:b/>
          <w:sz w:val="28"/>
          <w:szCs w:val="28"/>
        </w:rPr>
        <w:t>PROCEDURA AD EVIDENZA PUBBLICA PER LA CONCESSIONE IN USO DI UNO O P</w:t>
      </w:r>
      <w:r w:rsidR="00F43384">
        <w:rPr>
          <w:b/>
          <w:sz w:val="28"/>
          <w:szCs w:val="28"/>
        </w:rPr>
        <w:t>IU’</w:t>
      </w:r>
      <w:r>
        <w:rPr>
          <w:b/>
          <w:sz w:val="28"/>
          <w:szCs w:val="28"/>
        </w:rPr>
        <w:t xml:space="preserve"> UFFICI DELL’IMMOBILE DESTINATO A SEDE D’IMPRESA UBICATO IN VIA NICOLA PISANO FACENTE PARTE DELLA “CITTADELLA GALILEIANA”</w:t>
      </w:r>
    </w:p>
    <w:p w:rsidR="00D420BD" w:rsidRPr="007222AC" w:rsidRDefault="00D420BD" w:rsidP="00C16D8F">
      <w:pPr>
        <w:jc w:val="both"/>
        <w:rPr>
          <w:b/>
          <w:sz w:val="28"/>
          <w:szCs w:val="28"/>
        </w:rPr>
      </w:pPr>
      <w:r w:rsidRPr="007222AC">
        <w:rPr>
          <w:b/>
          <w:sz w:val="28"/>
          <w:szCs w:val="28"/>
        </w:rPr>
        <w:t>FAQ</w:t>
      </w:r>
      <w:r>
        <w:rPr>
          <w:b/>
          <w:sz w:val="28"/>
          <w:szCs w:val="28"/>
        </w:rPr>
        <w:t>.</w:t>
      </w:r>
    </w:p>
    <w:p w:rsidR="00D420BD" w:rsidRDefault="00D420BD" w:rsidP="00C16D8F">
      <w:pPr>
        <w:spacing w:before="120" w:after="60"/>
        <w:jc w:val="both"/>
        <w:rPr>
          <w:b/>
        </w:rPr>
      </w:pPr>
      <w:r>
        <w:rPr>
          <w:b/>
        </w:rPr>
        <w:t>D1. Dove posso inserire una descrizione dell’attività al fine di dimostrare la coerenza con il progetto “Cittadella Galileiana”</w:t>
      </w:r>
      <w:r w:rsidR="00902CC1">
        <w:rPr>
          <w:b/>
        </w:rPr>
        <w:t>?</w:t>
      </w:r>
    </w:p>
    <w:p w:rsidR="00D420BD" w:rsidRDefault="00D420BD" w:rsidP="00C16D8F">
      <w:pPr>
        <w:spacing w:after="0"/>
        <w:jc w:val="both"/>
        <w:rPr>
          <w:sz w:val="28"/>
          <w:szCs w:val="28"/>
        </w:rPr>
      </w:pPr>
      <w:r w:rsidRPr="00D71731">
        <w:rPr>
          <w:b/>
        </w:rPr>
        <w:t>R.</w:t>
      </w:r>
      <w:r>
        <w:t xml:space="preserve"> – Come previsto dall’art.5 del Bando di gara alla domanda di partecipazione devono essere allegati atto costitutivo, statuto o visura camerale, documenti dai quali si può evincere l’attività svolta dal partecipante. In ogni caso è in facoltà del partecipante allegare alla domanda una relazione descrittivo-illustrativa della propria attività al fine di meglio dimostrare la coerenza di quest’ultima con il progetto Cittadella Galileiana.</w:t>
      </w:r>
      <w:r w:rsidRPr="00C16D8F">
        <w:rPr>
          <w:sz w:val="28"/>
          <w:szCs w:val="28"/>
        </w:rPr>
        <w:t xml:space="preserve"> </w:t>
      </w:r>
    </w:p>
    <w:p w:rsidR="00D420BD" w:rsidRDefault="00D420BD" w:rsidP="00C16D8F">
      <w:pPr>
        <w:spacing w:after="0"/>
        <w:jc w:val="both"/>
        <w:rPr>
          <w:sz w:val="28"/>
          <w:szCs w:val="28"/>
        </w:rPr>
      </w:pPr>
    </w:p>
    <w:p w:rsidR="00D420BD" w:rsidRDefault="00D420BD" w:rsidP="00C16D8F">
      <w:pPr>
        <w:spacing w:after="0"/>
        <w:jc w:val="both"/>
        <w:rPr>
          <w:b/>
        </w:rPr>
      </w:pPr>
      <w:r w:rsidRPr="00017BD6">
        <w:rPr>
          <w:b/>
        </w:rPr>
        <w:t>D2</w:t>
      </w:r>
      <w:r>
        <w:rPr>
          <w:b/>
        </w:rPr>
        <w:t>. Quali s</w:t>
      </w:r>
      <w:r w:rsidR="00902CC1">
        <w:rPr>
          <w:b/>
        </w:rPr>
        <w:t>o</w:t>
      </w:r>
      <w:r>
        <w:rPr>
          <w:b/>
        </w:rPr>
        <w:t>no le clausole di salvaguardia dei concessionari nel futuro rapporto con il soggetto gestore in ordine alla durata ed all’entità del canone dei contratti di locazione in cui saranno convertite le</w:t>
      </w:r>
      <w:r w:rsidR="00902CC1">
        <w:rPr>
          <w:b/>
        </w:rPr>
        <w:t xml:space="preserve"> concessioni previste dal bando?</w:t>
      </w:r>
    </w:p>
    <w:p w:rsidR="00D420BD" w:rsidRPr="00AB6544" w:rsidRDefault="00D420BD" w:rsidP="00E559CC">
      <w:pPr>
        <w:spacing w:after="0" w:line="240" w:lineRule="auto"/>
        <w:jc w:val="both"/>
      </w:pPr>
      <w:r w:rsidRPr="00AB6544">
        <w:t>Nella gara per il gestore unico l’Amministrazione terrà in considerazione l’esistenza dei contratti di concessione in essere, stabilendo una percentuale massima di aumento che il gestore potrà applicare, comunque in linea con i prezzi di mercato.</w:t>
      </w:r>
      <w:r w:rsidR="00E559CC">
        <w:t xml:space="preserve"> La durata per i futuri contratti di locazione sarà quella prevista dalla legge 392/1978 per le locazioni ad uso diverso dall’abitativo.</w:t>
      </w:r>
    </w:p>
    <w:p w:rsidR="00D420BD" w:rsidRDefault="00D420BD" w:rsidP="00C16D8F">
      <w:pPr>
        <w:spacing w:after="0"/>
        <w:jc w:val="both"/>
        <w:rPr>
          <w:b/>
        </w:rPr>
      </w:pPr>
    </w:p>
    <w:p w:rsidR="00D420BD" w:rsidRDefault="00D420BD" w:rsidP="00C16D8F">
      <w:pPr>
        <w:spacing w:after="0"/>
        <w:jc w:val="both"/>
        <w:rPr>
          <w:b/>
        </w:rPr>
      </w:pPr>
      <w:r>
        <w:rPr>
          <w:b/>
        </w:rPr>
        <w:t>D3.Quali sono i tempi di entrata e di inizio di pagamento della convenzione considerato che gli eventuali aggiudicatari avranno molto probabilmente necessità di rispettare il termine semestrale di disdetta dei contratti d</w:t>
      </w:r>
      <w:r w:rsidR="00902CC1">
        <w:rPr>
          <w:b/>
        </w:rPr>
        <w:t>i cui sono attualmente titolari?</w:t>
      </w:r>
    </w:p>
    <w:p w:rsidR="00F43384" w:rsidRDefault="008059E2" w:rsidP="00C16D8F">
      <w:pPr>
        <w:spacing w:after="0"/>
        <w:jc w:val="both"/>
      </w:pPr>
      <w:r w:rsidRPr="008059E2">
        <w:t xml:space="preserve">Dalla determina di aggiudicazione provvisoria alla </w:t>
      </w:r>
      <w:r>
        <w:t xml:space="preserve">determina di </w:t>
      </w:r>
      <w:r w:rsidRPr="008059E2">
        <w:t xml:space="preserve">aggiudicazione definitiva decorrono tempi tecnici </w:t>
      </w:r>
      <w:r>
        <w:t>– solitamente non inferiori a due mesi -</w:t>
      </w:r>
      <w:r w:rsidRPr="008059E2">
        <w:t>necessari all’Amministrazione per effettuare le verifiche in ordine al possesso</w:t>
      </w:r>
      <w:r w:rsidR="00F43384">
        <w:t>,</w:t>
      </w:r>
      <w:r w:rsidRPr="008059E2">
        <w:t xml:space="preserve"> </w:t>
      </w:r>
      <w:r w:rsidR="00F43384">
        <w:t>da parte dell’aggiudicatario,</w:t>
      </w:r>
      <w:r w:rsidR="00F43384" w:rsidRPr="008059E2">
        <w:t xml:space="preserve"> </w:t>
      </w:r>
      <w:r w:rsidRPr="008059E2">
        <w:t>dei requisiti per contrarre con la p.a.</w:t>
      </w:r>
      <w:r>
        <w:t xml:space="preserve">, </w:t>
      </w:r>
      <w:r w:rsidRPr="008059E2">
        <w:t>come previsto dell’art.10 del bando di gara.</w:t>
      </w:r>
      <w:r>
        <w:t xml:space="preserve"> Una volta adottata la determinazione di aggiudicazione definitiva si procede</w:t>
      </w:r>
      <w:r w:rsidR="00F43384">
        <w:t>rà</w:t>
      </w:r>
      <w:r>
        <w:t xml:space="preserve"> al</w:t>
      </w:r>
      <w:r w:rsidR="00F43384">
        <w:t>la sottoscrizione del contratto,</w:t>
      </w:r>
      <w:r>
        <w:t xml:space="preserve"> solitamente non prima di circa 30 giorni</w:t>
      </w:r>
      <w:r w:rsidR="00F43384">
        <w:t>,</w:t>
      </w:r>
      <w:r>
        <w:t xml:space="preserve"> </w:t>
      </w:r>
      <w:r w:rsidR="00F43384">
        <w:t>dalla quale decorre la concessione e quindi l’obbligo di pagamento del relativo canone.</w:t>
      </w:r>
    </w:p>
    <w:p w:rsidR="008059E2" w:rsidRPr="008059E2" w:rsidRDefault="008059E2" w:rsidP="00C16D8F">
      <w:pPr>
        <w:spacing w:after="0"/>
        <w:jc w:val="both"/>
      </w:pPr>
    </w:p>
    <w:p w:rsidR="00D420BD" w:rsidRDefault="00D420BD" w:rsidP="00C16D8F">
      <w:pPr>
        <w:spacing w:after="0"/>
        <w:jc w:val="both"/>
        <w:rPr>
          <w:b/>
        </w:rPr>
      </w:pPr>
      <w:r>
        <w:rPr>
          <w:b/>
        </w:rPr>
        <w:t xml:space="preserve">D4. </w:t>
      </w:r>
      <w:r w:rsidR="00902CC1">
        <w:rPr>
          <w:b/>
        </w:rPr>
        <w:t>Gli impianti so</w:t>
      </w:r>
      <w:r>
        <w:rPr>
          <w:b/>
        </w:rPr>
        <w:t xml:space="preserve">no a norma e </w:t>
      </w:r>
      <w:r w:rsidR="00902CC1">
        <w:rPr>
          <w:b/>
        </w:rPr>
        <w:t>dotati delle relative certificazioni?</w:t>
      </w:r>
    </w:p>
    <w:p w:rsidR="00D420BD" w:rsidRPr="00426C6E" w:rsidRDefault="00D420BD" w:rsidP="00C16D8F">
      <w:pPr>
        <w:spacing w:after="0"/>
        <w:jc w:val="both"/>
      </w:pPr>
      <w:r w:rsidRPr="00426C6E">
        <w:t>Gli impianti sono a norma e l’edificio è già stato sottoposto a collaudo. L’Amministrazione è in possesso delle relative certificazioni.</w:t>
      </w:r>
    </w:p>
    <w:p w:rsidR="00D420BD" w:rsidRDefault="00D420BD" w:rsidP="00C16D8F">
      <w:pPr>
        <w:spacing w:after="0"/>
        <w:jc w:val="both"/>
        <w:rPr>
          <w:b/>
        </w:rPr>
      </w:pPr>
    </w:p>
    <w:p w:rsidR="00D420BD" w:rsidRDefault="00D420BD" w:rsidP="00C16D8F">
      <w:pPr>
        <w:spacing w:after="0"/>
        <w:jc w:val="both"/>
        <w:rPr>
          <w:b/>
        </w:rPr>
      </w:pPr>
      <w:r>
        <w:rPr>
          <w:b/>
        </w:rPr>
        <w:t>D5. Come saranno ripartite le spese relative alle parti a comune? Tra i servizi a comune debbono essere inclusi anche le altre strutture come il museo o l’area a verde?</w:t>
      </w:r>
    </w:p>
    <w:p w:rsidR="00D420BD" w:rsidRDefault="00D420BD" w:rsidP="00C16D8F">
      <w:pPr>
        <w:spacing w:after="0"/>
        <w:jc w:val="both"/>
      </w:pPr>
      <w:r w:rsidRPr="00391941">
        <w:t>Le spese relative agli spazi comuni dell’edificio oggetto del bando verranno ripartite in base ai c.d. “millesimi di proprietà” ovvero alla superficie oggetto delle diverse concessioni</w:t>
      </w:r>
      <w:r>
        <w:t xml:space="preserve"> mentre</w:t>
      </w:r>
      <w:r w:rsidRPr="00391941">
        <w:t xml:space="preserve"> </w:t>
      </w:r>
      <w:r>
        <w:t>p</w:t>
      </w:r>
      <w:r w:rsidRPr="00391941">
        <w:t xml:space="preserve">er le parti non </w:t>
      </w:r>
      <w:r>
        <w:t>date in concessione</w:t>
      </w:r>
      <w:r w:rsidRPr="00391941">
        <w:t xml:space="preserve"> </w:t>
      </w:r>
      <w:r w:rsidR="008059E2">
        <w:t>resteranno</w:t>
      </w:r>
      <w:r w:rsidRPr="00391941">
        <w:t xml:space="preserve"> a carico del Comune proprietario Da questa procedura non scaturiranno spese relative alle ripartizione dei costi delle aree a verde</w:t>
      </w:r>
      <w:r>
        <w:t xml:space="preserve"> né delle altre strutture </w:t>
      </w:r>
    </w:p>
    <w:p w:rsidR="008059E2" w:rsidRPr="00426C6E" w:rsidRDefault="008059E2" w:rsidP="00C16D8F">
      <w:pPr>
        <w:spacing w:after="0"/>
        <w:jc w:val="both"/>
        <w:rPr>
          <w:b/>
        </w:rPr>
      </w:pPr>
    </w:p>
    <w:p w:rsidR="00D420BD" w:rsidRDefault="00D420BD" w:rsidP="00C16D8F">
      <w:pPr>
        <w:spacing w:after="0"/>
        <w:jc w:val="both"/>
        <w:rPr>
          <w:b/>
        </w:rPr>
      </w:pPr>
      <w:r>
        <w:rPr>
          <w:b/>
        </w:rPr>
        <w:t xml:space="preserve">D6. </w:t>
      </w:r>
      <w:r w:rsidR="00902CC1">
        <w:rPr>
          <w:b/>
        </w:rPr>
        <w:t>Qual è la d</w:t>
      </w:r>
      <w:r>
        <w:rPr>
          <w:b/>
        </w:rPr>
        <w:t xml:space="preserve">efinizione esatta dei parcheggi pertinenziali e </w:t>
      </w:r>
      <w:r w:rsidR="00902CC1">
        <w:rPr>
          <w:b/>
        </w:rPr>
        <w:t xml:space="preserve">quali sono i </w:t>
      </w:r>
      <w:r>
        <w:rPr>
          <w:b/>
        </w:rPr>
        <w:t>soggett</w:t>
      </w:r>
      <w:r w:rsidR="00902CC1">
        <w:rPr>
          <w:b/>
        </w:rPr>
        <w:t>i con i quali saranno condivisi?</w:t>
      </w:r>
    </w:p>
    <w:p w:rsidR="00D420BD" w:rsidRPr="00391941" w:rsidRDefault="00D420BD" w:rsidP="00C16D8F">
      <w:pPr>
        <w:spacing w:after="0"/>
        <w:jc w:val="both"/>
      </w:pPr>
      <w:r w:rsidRPr="00391941">
        <w:t>Fino a che non saranno terminati i lavori relativi all’intero complesso immobiliare non è possibile rispondere a queste domande.</w:t>
      </w:r>
    </w:p>
    <w:p w:rsidR="00D420BD" w:rsidRDefault="00D420BD" w:rsidP="00C16D8F">
      <w:pPr>
        <w:spacing w:after="0"/>
        <w:jc w:val="both"/>
        <w:rPr>
          <w:b/>
        </w:rPr>
      </w:pPr>
    </w:p>
    <w:p w:rsidR="00D420BD" w:rsidRDefault="00D420BD" w:rsidP="00C16D8F">
      <w:pPr>
        <w:spacing w:after="0"/>
        <w:jc w:val="both"/>
        <w:rPr>
          <w:b/>
        </w:rPr>
      </w:pPr>
      <w:r>
        <w:rPr>
          <w:b/>
        </w:rPr>
        <w:lastRenderedPageBreak/>
        <w:t>D7.</w:t>
      </w:r>
      <w:r w:rsidR="00902CC1">
        <w:rPr>
          <w:b/>
        </w:rPr>
        <w:t>Ai</w:t>
      </w:r>
      <w:r>
        <w:rPr>
          <w:b/>
        </w:rPr>
        <w:t xml:space="preserve"> locali contrassegnati nella planimetria con il n.11 e con il n.12 i futuri concessionari potranno mettere delle porte per separarl</w:t>
      </w:r>
      <w:r w:rsidR="00902CC1">
        <w:rPr>
          <w:b/>
        </w:rPr>
        <w:t>i</w:t>
      </w:r>
      <w:r>
        <w:rPr>
          <w:b/>
        </w:rPr>
        <w:t xml:space="preserve"> dall’area indicata in p</w:t>
      </w:r>
      <w:r w:rsidR="00902CC1">
        <w:rPr>
          <w:b/>
        </w:rPr>
        <w:t>lanimetria coma “spazio comune”?</w:t>
      </w:r>
      <w:bookmarkStart w:id="0" w:name="_GoBack"/>
      <w:bookmarkEnd w:id="0"/>
    </w:p>
    <w:p w:rsidR="00D420BD" w:rsidRPr="00391941" w:rsidRDefault="00D420BD" w:rsidP="00C16D8F">
      <w:pPr>
        <w:spacing w:after="0"/>
        <w:jc w:val="both"/>
      </w:pPr>
      <w:r w:rsidRPr="00391941">
        <w:t>Una volta che il soggetto aggiudicatario avrà sottoscritto la concessione potrà installare la porta previa autorizzazione dei competenti uffici comunali.</w:t>
      </w:r>
    </w:p>
    <w:p w:rsidR="00D420BD" w:rsidRDefault="00D420BD" w:rsidP="00C16D8F">
      <w:pPr>
        <w:spacing w:after="0"/>
        <w:jc w:val="right"/>
        <w:rPr>
          <w:sz w:val="28"/>
          <w:szCs w:val="28"/>
        </w:rPr>
      </w:pPr>
    </w:p>
    <w:p w:rsidR="00D420BD" w:rsidRPr="00986B79" w:rsidRDefault="00D420BD" w:rsidP="00C16D8F">
      <w:pPr>
        <w:spacing w:after="0"/>
        <w:jc w:val="right"/>
      </w:pPr>
      <w:r>
        <w:t>1</w:t>
      </w:r>
      <w:r w:rsidR="00F43384">
        <w:t>0</w:t>
      </w:r>
      <w:r>
        <w:t xml:space="preserve"> Ottobre</w:t>
      </w:r>
      <w:r w:rsidRPr="00C16D8F">
        <w:t xml:space="preserve"> 2016</w:t>
      </w:r>
    </w:p>
    <w:sectPr w:rsidR="00D420BD" w:rsidRPr="00986B79" w:rsidSect="007F1A85">
      <w:footerReference w:type="default" r:id="rId6"/>
      <w:pgSz w:w="11906" w:h="16838" w:code="9"/>
      <w:pgMar w:top="1418"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EC3" w:rsidRDefault="007B3EC3">
      <w:r>
        <w:separator/>
      </w:r>
    </w:p>
  </w:endnote>
  <w:endnote w:type="continuationSeparator" w:id="0">
    <w:p w:rsidR="007B3EC3" w:rsidRDefault="007B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0BD" w:rsidRPr="007F1A85" w:rsidRDefault="00D420BD">
    <w:pPr>
      <w:pStyle w:val="Pidipagina"/>
      <w:rPr>
        <w:sz w:val="18"/>
        <w:szCs w:val="18"/>
      </w:rPr>
    </w:pPr>
    <w:r>
      <w:rPr>
        <w:sz w:val="18"/>
        <w:szCs w:val="18"/>
      </w:rPr>
      <w:t>A</w:t>
    </w:r>
    <w:r w:rsidRPr="007F1A85">
      <w:rPr>
        <w:sz w:val="18"/>
        <w:szCs w:val="18"/>
      </w:rPr>
      <w:t>ggiornato al</w:t>
    </w:r>
    <w:r>
      <w:rPr>
        <w:sz w:val="18"/>
        <w:szCs w:val="18"/>
      </w:rPr>
      <w:t xml:space="preserve"> 10 </w:t>
    </w:r>
    <w:r w:rsidRPr="007F1A85">
      <w:rPr>
        <w:sz w:val="18"/>
        <w:szCs w:val="18"/>
      </w:rPr>
      <w:t>/</w:t>
    </w:r>
    <w:r>
      <w:rPr>
        <w:sz w:val="18"/>
        <w:szCs w:val="18"/>
      </w:rPr>
      <w:t>10</w:t>
    </w:r>
    <w:r w:rsidRPr="007F1A85">
      <w:rPr>
        <w:sz w:val="18"/>
        <w:szCs w:val="18"/>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EC3" w:rsidRDefault="007B3EC3">
      <w:r>
        <w:separator/>
      </w:r>
    </w:p>
  </w:footnote>
  <w:footnote w:type="continuationSeparator" w:id="0">
    <w:p w:rsidR="007B3EC3" w:rsidRDefault="007B3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D68"/>
    <w:rsid w:val="00017BD6"/>
    <w:rsid w:val="0002318A"/>
    <w:rsid w:val="0003760B"/>
    <w:rsid w:val="0005564E"/>
    <w:rsid w:val="000A2A1D"/>
    <w:rsid w:val="000E3CBA"/>
    <w:rsid w:val="00126376"/>
    <w:rsid w:val="00144F6B"/>
    <w:rsid w:val="00146E9D"/>
    <w:rsid w:val="001524BC"/>
    <w:rsid w:val="001703BA"/>
    <w:rsid w:val="001747EC"/>
    <w:rsid w:val="00180474"/>
    <w:rsid w:val="001845F3"/>
    <w:rsid w:val="00192AE1"/>
    <w:rsid w:val="001A7058"/>
    <w:rsid w:val="001C5AEA"/>
    <w:rsid w:val="001C68B4"/>
    <w:rsid w:val="001E65ED"/>
    <w:rsid w:val="00221647"/>
    <w:rsid w:val="00236F07"/>
    <w:rsid w:val="002A15A5"/>
    <w:rsid w:val="002B2134"/>
    <w:rsid w:val="002F6AE0"/>
    <w:rsid w:val="0037004A"/>
    <w:rsid w:val="00371FA1"/>
    <w:rsid w:val="00391941"/>
    <w:rsid w:val="003A51B7"/>
    <w:rsid w:val="003B6169"/>
    <w:rsid w:val="003C4042"/>
    <w:rsid w:val="003F7B19"/>
    <w:rsid w:val="0040571E"/>
    <w:rsid w:val="00413FB3"/>
    <w:rsid w:val="00426C6E"/>
    <w:rsid w:val="004305C6"/>
    <w:rsid w:val="004314AD"/>
    <w:rsid w:val="0043799B"/>
    <w:rsid w:val="00464D4C"/>
    <w:rsid w:val="004757C3"/>
    <w:rsid w:val="00476952"/>
    <w:rsid w:val="00481D58"/>
    <w:rsid w:val="00487DD5"/>
    <w:rsid w:val="004A30BC"/>
    <w:rsid w:val="004E0BBC"/>
    <w:rsid w:val="004E1AE3"/>
    <w:rsid w:val="00503D68"/>
    <w:rsid w:val="005415A4"/>
    <w:rsid w:val="005811A2"/>
    <w:rsid w:val="005941E0"/>
    <w:rsid w:val="005C3B8A"/>
    <w:rsid w:val="005E480E"/>
    <w:rsid w:val="005F503D"/>
    <w:rsid w:val="00624477"/>
    <w:rsid w:val="006272C6"/>
    <w:rsid w:val="006325FA"/>
    <w:rsid w:val="006B7338"/>
    <w:rsid w:val="006D5B67"/>
    <w:rsid w:val="007222AC"/>
    <w:rsid w:val="00731CB2"/>
    <w:rsid w:val="007622EB"/>
    <w:rsid w:val="007B3EC3"/>
    <w:rsid w:val="007C66F5"/>
    <w:rsid w:val="007D60D9"/>
    <w:rsid w:val="007F1A85"/>
    <w:rsid w:val="008059E2"/>
    <w:rsid w:val="00856F25"/>
    <w:rsid w:val="00876361"/>
    <w:rsid w:val="008A57BC"/>
    <w:rsid w:val="008C5E4D"/>
    <w:rsid w:val="008D0361"/>
    <w:rsid w:val="008D6386"/>
    <w:rsid w:val="008D7957"/>
    <w:rsid w:val="009002B6"/>
    <w:rsid w:val="00902CC1"/>
    <w:rsid w:val="00910D17"/>
    <w:rsid w:val="009403B5"/>
    <w:rsid w:val="00986B79"/>
    <w:rsid w:val="009D7555"/>
    <w:rsid w:val="009E5CCE"/>
    <w:rsid w:val="00A216EA"/>
    <w:rsid w:val="00A238B4"/>
    <w:rsid w:val="00A3134E"/>
    <w:rsid w:val="00A324F9"/>
    <w:rsid w:val="00A342E5"/>
    <w:rsid w:val="00A37F6F"/>
    <w:rsid w:val="00A71A1F"/>
    <w:rsid w:val="00A947B5"/>
    <w:rsid w:val="00AB4AB4"/>
    <w:rsid w:val="00AB6544"/>
    <w:rsid w:val="00AF0368"/>
    <w:rsid w:val="00AF0C96"/>
    <w:rsid w:val="00B404CD"/>
    <w:rsid w:val="00B70723"/>
    <w:rsid w:val="00B83D0A"/>
    <w:rsid w:val="00BA243B"/>
    <w:rsid w:val="00BB400A"/>
    <w:rsid w:val="00BE55F4"/>
    <w:rsid w:val="00BF1AEA"/>
    <w:rsid w:val="00C0274E"/>
    <w:rsid w:val="00C14E9A"/>
    <w:rsid w:val="00C16D8F"/>
    <w:rsid w:val="00C523EA"/>
    <w:rsid w:val="00C6169D"/>
    <w:rsid w:val="00C7115C"/>
    <w:rsid w:val="00C8010F"/>
    <w:rsid w:val="00C86704"/>
    <w:rsid w:val="00CA03F5"/>
    <w:rsid w:val="00CA32FB"/>
    <w:rsid w:val="00CB616B"/>
    <w:rsid w:val="00CE45D3"/>
    <w:rsid w:val="00D420BD"/>
    <w:rsid w:val="00D64674"/>
    <w:rsid w:val="00D67136"/>
    <w:rsid w:val="00D71731"/>
    <w:rsid w:val="00D819CC"/>
    <w:rsid w:val="00DA2629"/>
    <w:rsid w:val="00DB757D"/>
    <w:rsid w:val="00DC1154"/>
    <w:rsid w:val="00DE3449"/>
    <w:rsid w:val="00E0335C"/>
    <w:rsid w:val="00E3532B"/>
    <w:rsid w:val="00E36211"/>
    <w:rsid w:val="00E544A6"/>
    <w:rsid w:val="00E559CC"/>
    <w:rsid w:val="00E6288C"/>
    <w:rsid w:val="00E64230"/>
    <w:rsid w:val="00E95A4D"/>
    <w:rsid w:val="00EC6E57"/>
    <w:rsid w:val="00EE0D51"/>
    <w:rsid w:val="00EE7AE8"/>
    <w:rsid w:val="00F43384"/>
    <w:rsid w:val="00F64B16"/>
    <w:rsid w:val="00F72278"/>
    <w:rsid w:val="00FA1C53"/>
    <w:rsid w:val="00FC17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4415E00-5BDA-41B3-953D-F4A0B6EA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342E5"/>
    <w:pPr>
      <w:spacing w:after="160" w:line="259"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locked/>
    <w:rsid w:val="00731CB2"/>
    <w:pPr>
      <w:spacing w:after="160" w:line="259"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7F1A85"/>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910D17"/>
    <w:rPr>
      <w:rFonts w:cs="Times New Roman"/>
      <w:lang w:eastAsia="en-US"/>
    </w:rPr>
  </w:style>
  <w:style w:type="paragraph" w:styleId="Pidipagina">
    <w:name w:val="footer"/>
    <w:basedOn w:val="Normale"/>
    <w:link w:val="PidipaginaCarattere"/>
    <w:uiPriority w:val="99"/>
    <w:rsid w:val="007F1A85"/>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910D17"/>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1996">
      <w:marLeft w:val="0"/>
      <w:marRight w:val="0"/>
      <w:marTop w:val="0"/>
      <w:marBottom w:val="0"/>
      <w:divBdr>
        <w:top w:val="none" w:sz="0" w:space="0" w:color="auto"/>
        <w:left w:val="none" w:sz="0" w:space="0" w:color="auto"/>
        <w:bottom w:val="none" w:sz="0" w:space="0" w:color="auto"/>
        <w:right w:val="none" w:sz="0" w:space="0" w:color="auto"/>
      </w:divBdr>
    </w:div>
    <w:div w:id="5331997">
      <w:marLeft w:val="0"/>
      <w:marRight w:val="0"/>
      <w:marTop w:val="0"/>
      <w:marBottom w:val="0"/>
      <w:divBdr>
        <w:top w:val="none" w:sz="0" w:space="0" w:color="auto"/>
        <w:left w:val="none" w:sz="0" w:space="0" w:color="auto"/>
        <w:bottom w:val="none" w:sz="0" w:space="0" w:color="auto"/>
        <w:right w:val="none" w:sz="0" w:space="0" w:color="auto"/>
      </w:divBdr>
    </w:div>
    <w:div w:id="53319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541</Words>
  <Characters>3090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Malfatti</dc:creator>
  <cp:keywords/>
  <dc:description/>
  <cp:lastModifiedBy>Veronica Malfatti</cp:lastModifiedBy>
  <cp:revision>4</cp:revision>
  <cp:lastPrinted>2016-09-28T11:18:00Z</cp:lastPrinted>
  <dcterms:created xsi:type="dcterms:W3CDTF">2016-10-10T12:15:00Z</dcterms:created>
  <dcterms:modified xsi:type="dcterms:W3CDTF">2016-10-10T12:28:00Z</dcterms:modified>
</cp:coreProperties>
</file>